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跨境链路4/7层转发一体化控制台控制方案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本文档针对十堰→香港→美国/巴西等跨境链路场景，提供以控制台为核心的4/7层转发一体化控制方案，实现链路动态调度、转发规则统一管理、状态实时监控，适配高稳定性、低延迟的跨境访问需求。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一、方案概述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以“控制台为调度核心+香港节点为转发引擎”，整合4层TCP/UDP转发与7层HTTP/HTTPS反向代理能力，支持多层链路智能选路与节点故障自动切换，解决跨境访问中链路不稳定、转发功能割裂、运维效率低等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核心价值</w:t>
      </w:r>
      <w:r>
        <w:rPr>
          <w:rFonts w:eastAsia="等线" w:ascii="Arial" w:cs="Arial" w:hAnsi="Arial"/>
          <w:sz w:val="22"/>
        </w:rPr>
        <w:t>：一体化控制降低运维成本，智能链路优化提升跨境访问稳定性，4/7层功能覆盖全场景业务需求。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二、整体架构设计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2.1 架构分层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层级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核心组件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核心功能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控制层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自定义控制台程序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链路规则配置、4/7层转发策略管理、节点健康检查、路由动态切换、状态监控告警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转发引擎层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HAProxy + NGINX + 辅助工具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4层TCP/UDP转发（HAProxy）、7层反向代理（NGINX）、协议解析与分流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链路层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香港→美国/巴西跨境链路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按控制台规则，通过最优路由传输数据（支持多层链路切换）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目标层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美国/巴西源服务器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接收转发请求，返回数据（控制台可配置多备用节点）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2.2 数据流转逻辑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数据流转逻辑（含恶意流量防护）</w:t>
      </w:r>
      <w:r>
        <w:rPr>
          <w:rFonts w:eastAsia="等线" w:ascii="Arial" w:cs="Arial" w:hAnsi="Arial"/>
          <w:sz w:val="22"/>
        </w:rPr>
        <w:t>：用户访问绑定十堰服务器的域名→DNS解析至十堰前置防护节点→</w:t>
        <w:br/>
        <w:t>• 7层请求：十堰节点过滤恶意流量→正常请求转发至香港开放节点（转发引擎）；</w:t>
        <w:br/>
      </w:r>
      <w:r>
        <w:rPr>
          <w:rFonts w:eastAsia="等线" w:ascii="Arial" w:cs="Arial" w:hAnsi="Arial"/>
          <w:sz w:val="22"/>
        </w:rPr>
        <w:t>• 4层请求：十堰节点检测流量→恶意流量转发至</w:t>
      </w:r>
      <w:r>
        <w:rPr>
          <w:rFonts w:eastAsia="Consolas" w:ascii="Consolas" w:cs="Consolas" w:hAnsi="Consolas"/>
          <w:sz w:val="22"/>
          <w:shd w:fill="EFF0F1"/>
        </w:rPr>
        <w:t>c-ddos.rsnt.ltd</w:t>
      </w:r>
      <w:r>
        <w:rPr>
          <w:rFonts w:eastAsia="等线" w:ascii="Arial" w:cs="Arial" w:hAnsi="Arial"/>
          <w:sz w:val="22"/>
        </w:rPr>
        <w:t>清洗后回传，正常流量直接转发至香港开放节点；</w:t>
        <w:br/>
      </w:r>
      <w:r>
        <w:rPr>
          <w:rFonts w:eastAsia="等线" w:ascii="Arial" w:cs="Arial" w:hAnsi="Arial"/>
          <w:sz w:val="22"/>
        </w:rPr>
        <w:t>→控制台校验预设链路规则（4/7层分流+链路选择）→按链路转发至美国/巴西节点→数据返回按原链路回传至用户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三、控制台核心功能模块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3.1 4/7层转发规则管理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3.1.1 7层反向代理规则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域名-节点关联：将绑定十堰服务器的域名通过DNS解析指向香港开放节点（而非直接绑定域名），控制台预设“香港节点+目标服务器”关联规则（如香港节点A→美国服务器，香港节点B→巴西服务器）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缓存策略：按文件类型（图片、JS、CSS等）设置差异化缓存时长（美国方向建议1h，巴西方向建议2h）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应用层优化：启用Gzip压缩、HTTP2协议，自定义请求头（如</w:t>
      </w:r>
      <w:r>
        <w:rPr>
          <w:rFonts w:eastAsia="Consolas" w:ascii="Consolas" w:cs="Consolas" w:hAnsi="Consolas"/>
          <w:sz w:val="22"/>
          <w:shd w:fill="EFF0F1"/>
        </w:rPr>
        <w:t>X-Forwarded-For</w:t>
      </w:r>
      <w:r>
        <w:rPr>
          <w:rFonts w:eastAsia="等线" w:ascii="Arial" w:cs="Arial" w:hAnsi="Arial"/>
          <w:sz w:val="22"/>
        </w:rPr>
        <w:t>、</w:t>
      </w:r>
      <w:r>
        <w:rPr>
          <w:rFonts w:eastAsia="Consolas" w:ascii="Consolas" w:cs="Consolas" w:hAnsi="Consolas"/>
          <w:sz w:val="22"/>
          <w:shd w:fill="EFF0F1"/>
        </w:rPr>
        <w:t>Host</w:t>
      </w:r>
      <w:r>
        <w:rPr>
          <w:rFonts w:eastAsia="等线" w:ascii="Arial" w:cs="Arial" w:hAnsi="Arial"/>
          <w:sz w:val="22"/>
        </w:rPr>
        <w:t>）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3.1.2 4层转发规则</w:t>
      </w:r>
      <w:bookmarkEnd w:id="7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端口映射：配置香港节点端口与目标服务器端口的映射关系（如3306→美国数据库3306，8082→巴西自定义服务8082）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协议选择：支持TCP/UDP协议切换（数据库走TCP，游戏服务走UDP）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并发控制：设置单端口最大连接数，避免跨境带宽拥堵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3.1.3 智能分流逻辑</w:t>
      </w:r>
      <w:bookmarkEnd w:id="8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默认分流规则：HTTP/HTTPS（80/443端口）走7层NGINX，非应用层协议端口走4层HAProxy；支持自定义端口分流策略，如“9000端口强制走7层”“10000端口强制走4层”。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3.2 链路与节点控制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3.2.1 链路路由管理</w:t>
      </w:r>
      <w:bookmarkEnd w:id="10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预设链路模板：美国方向（十堰→香港→美国西海岸）、巴西方向（十堰→香港→美国西海岸→巴西）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智能选路：实时检测各链路延迟/丢包，延迟超阈值（美国＞200ms、巴西＞300ms）自动切换最优链路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多层链路支持：最高适配五层链路配置，可添加多级中转节点（如香港→日本→美国→巴西）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3.2.2 节点健康检查</w:t>
      </w:r>
      <w:bookmarkEnd w:id="11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定时检测：每2秒检测源服务器、中转节点的连通性与丢包率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故障切换：节点不可用（丢包率＞1%或延迟超阈值）时自动切换备用节点，并触发告警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3.3 监控与运维</w:t>
      </w:r>
      <w:bookmarkEnd w:id="12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实时监控：链路延迟、丢包率、转发成功率、请求量统计可视化展示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日志管理：4层转发日志、7层代理日志（缓存命中、错误信息）查询与导出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配置管理：支持规则实时下发、版本回滚与历史配置查询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四、转发引擎与控制台联动实现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4.1 轻量联动方案（</w:t>
      </w:r>
      <w:r>
        <w:rPr>
          <w:rFonts w:eastAsia="等线" w:ascii="Arial" w:cs="Arial" w:hAnsi="Arial"/>
          <w:b w:val="true"/>
          <w:sz w:val="32"/>
        </w:rPr>
        <w:t>全</w:t>
      </w:r>
      <w:r>
        <w:rPr>
          <w:rFonts w:eastAsia="等线" w:ascii="Arial" w:cs="Arial" w:hAnsi="Arial"/>
          <w:b w:val="true"/>
          <w:sz w:val="32"/>
        </w:rPr>
        <w:t>API</w:t>
      </w:r>
      <w:r>
        <w:rPr>
          <w:rFonts w:eastAsia="等线" w:ascii="Arial" w:cs="Arial" w:hAnsi="Arial"/>
          <w:b w:val="true"/>
          <w:sz w:val="32"/>
        </w:rPr>
        <w:t>交互</w:t>
      </w:r>
      <w:r>
        <w:rPr>
          <w:rFonts w:eastAsia="等线" w:ascii="Arial" w:cs="Arial" w:hAnsi="Arial"/>
          <w:b w:val="true"/>
          <w:sz w:val="32"/>
        </w:rPr>
        <w:t>）</w:t>
      </w:r>
      <w:bookmarkEnd w:id="14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配置生成与加密传输</w:t>
      </w:r>
      <w:r>
        <w:rPr>
          <w:rFonts w:eastAsia="等线" w:ascii="Arial" w:cs="Arial" w:hAnsi="Arial"/>
          <w:sz w:val="22"/>
        </w:rPr>
        <w:t>：控制台根据规则生成HAProxy/NGINX配置文件，采用AES-256加密后，通过HTTPS POST请求发送至香港节点的配置接收API（如</w:t>
      </w:r>
      <w:r>
        <w:rPr>
          <w:rFonts w:eastAsia="Consolas" w:ascii="Consolas" w:cs="Consolas" w:hAnsi="Consolas"/>
          <w:sz w:val="22"/>
          <w:shd w:fill="EFF0F1"/>
        </w:rPr>
        <w:t>https://hk-node-ip:8443/config/upload</w:t>
      </w:r>
      <w:r>
        <w:rPr>
          <w:rFonts w:eastAsia="等线" w:ascii="Arial" w:cs="Arial" w:hAnsi="Arial"/>
          <w:sz w:val="22"/>
        </w:rPr>
        <w:t>），API端验证请求头中的JWT令牌合法性后解密配置文件。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API触发配置重载</w:t>
      </w:r>
      <w:r>
        <w:rPr>
          <w:rFonts w:eastAsia="等线" w:ascii="Arial" w:cs="Arial" w:hAnsi="Arial"/>
          <w:sz w:val="22"/>
        </w:rPr>
        <w:t>：配置文件写入成功后，控制台调用香港节点的服务控制API触发重载：</w:t>
        <w:br/>
      </w:r>
      <w:r>
        <w:rPr>
          <w:rFonts w:eastAsia="等线" w:ascii="Arial" w:cs="Arial" w:hAnsi="Arial"/>
          <w:sz w:val="22"/>
        </w:rPr>
        <w:t>- HAProxy：通过Unix Socket转换API（如</w:t>
      </w:r>
      <w:r>
        <w:rPr>
          <w:rFonts w:eastAsia="Consolas" w:ascii="Consolas" w:cs="Consolas" w:hAnsi="Consolas"/>
          <w:sz w:val="22"/>
          <w:shd w:fill="EFF0F1"/>
        </w:rPr>
        <w:t>http://hk-node-ip:8080/haproxy/reload</w:t>
      </w:r>
      <w:r>
        <w:rPr>
          <w:rFonts w:eastAsia="等线" w:ascii="Arial" w:cs="Arial" w:hAnsi="Arial"/>
          <w:sz w:val="22"/>
        </w:rPr>
        <w:t>）执行配置重载，底层调用</w:t>
      </w:r>
      <w:r>
        <w:rPr>
          <w:rFonts w:eastAsia="Consolas" w:ascii="Consolas" w:cs="Consolas" w:hAnsi="Consolas"/>
          <w:sz w:val="22"/>
          <w:shd w:fill="EFF0F1"/>
        </w:rPr>
        <w:t>echo "reload" | socat /run/haproxy.sock stdio</w:t>
      </w:r>
      <w:r>
        <w:rPr>
          <w:rFonts w:eastAsia="等线" w:ascii="Arial" w:cs="Arial" w:hAnsi="Arial"/>
          <w:sz w:val="22"/>
        </w:rPr>
        <w:t>；</w:t>
        <w:br/>
      </w:r>
      <w:r>
        <w:rPr>
          <w:rFonts w:eastAsia="等线" w:ascii="Arial" w:cs="Arial" w:hAnsi="Arial"/>
          <w:sz w:val="22"/>
        </w:rPr>
        <w:t>- NGINX：调用内置API模块接口（如</w:t>
      </w:r>
      <w:r>
        <w:rPr>
          <w:rFonts w:eastAsia="Consolas" w:ascii="Consolas" w:cs="Consolas" w:hAnsi="Consolas"/>
          <w:sz w:val="22"/>
          <w:shd w:fill="EFF0F1"/>
        </w:rPr>
        <w:t>https://hk-node-ip:8443/nginx/reload</w:t>
      </w:r>
      <w:r>
        <w:rPr>
          <w:rFonts w:eastAsia="等线" w:ascii="Arial" w:cs="Arial" w:hAnsi="Arial"/>
          <w:sz w:val="22"/>
        </w:rPr>
        <w:t>），需提前在NGINX配置中启用</w:t>
      </w:r>
      <w:r>
        <w:rPr>
          <w:rFonts w:eastAsia="Consolas" w:ascii="Consolas" w:cs="Consolas" w:hAnsi="Consolas"/>
          <w:sz w:val="22"/>
          <w:shd w:fill="EFF0F1"/>
        </w:rPr>
        <w:t>ngx_http_api_module</w:t>
      </w:r>
      <w:r>
        <w:rPr>
          <w:rFonts w:eastAsia="等线" w:ascii="Arial" w:cs="Arial" w:hAnsi="Arial"/>
          <w:sz w:val="22"/>
        </w:rPr>
        <w:t>并配置访问权限。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双向API状态反馈</w:t>
      </w:r>
      <w:r>
        <w:rPr>
          <w:rFonts w:eastAsia="等线" w:ascii="Arial" w:cs="Arial" w:hAnsi="Arial"/>
          <w:sz w:val="22"/>
        </w:rPr>
        <w:t>：香港节点部署状态采集服务，通过以下API实现信息上报：</w:t>
        <w:br/>
      </w:r>
      <w:r>
        <w:rPr>
          <w:rFonts w:eastAsia="等线" w:ascii="Arial" w:cs="Arial" w:hAnsi="Arial"/>
          <w:sz w:val="22"/>
        </w:rPr>
        <w:t>- 实时状态：每5秒调用控制台状态上报API（如</w:t>
      </w:r>
      <w:r>
        <w:rPr>
          <w:rFonts w:eastAsia="Consolas" w:ascii="Consolas" w:cs="Consolas" w:hAnsi="Consolas"/>
          <w:sz w:val="22"/>
          <w:shd w:fill="EFF0F1"/>
        </w:rPr>
        <w:t>https://console-ip:443/api/node/status</w:t>
      </w:r>
      <w:r>
        <w:rPr>
          <w:rFonts w:eastAsia="等线" w:ascii="Arial" w:cs="Arial" w:hAnsi="Arial"/>
          <w:sz w:val="22"/>
        </w:rPr>
        <w:t>），上传链路延迟、转发成功率等指标；</w:t>
        <w:br/>
      </w:r>
      <w:r>
        <w:rPr>
          <w:rFonts w:eastAsia="等线" w:ascii="Arial" w:cs="Arial" w:hAnsi="Arial"/>
          <w:sz w:val="22"/>
        </w:rPr>
        <w:t>- 事件告警：节点异常时通过WebHook API推送告警信息至控制台，触发自动切换逻辑。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4.2 进阶联动方案（配置中心）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引入Consul/Nacos作为配置中心，控制台写入规则后，HAProxy（consul-template插件）、NGINX（njs模块）实时监听配置变化并自动重载；集成Prometheus+Grafana实现监控可视化与阈值告警。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五、跨境链路优化建议</w:t>
      </w:r>
      <w:bookmarkEnd w:id="16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MTU优化：香港节点全局设置MTU=1400，避免跨境数据分片丢包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TCP加速：HAProxy启用</w:t>
      </w:r>
      <w:r>
        <w:rPr>
          <w:rFonts w:eastAsia="Consolas" w:ascii="Consolas" w:cs="Consolas" w:hAnsi="Consolas"/>
          <w:sz w:val="22"/>
          <w:shd w:fill="EFF0F1"/>
        </w:rPr>
        <w:t>tcp-fastopen</w:t>
      </w:r>
      <w:r>
        <w:rPr>
          <w:rFonts w:eastAsia="等线" w:ascii="Arial" w:cs="Arial" w:hAnsi="Arial"/>
          <w:sz w:val="22"/>
        </w:rPr>
        <w:t>，NGINX启用</w:t>
      </w:r>
      <w:r>
        <w:rPr>
          <w:rFonts w:eastAsia="Consolas" w:ascii="Consolas" w:cs="Consolas" w:hAnsi="Consolas"/>
          <w:sz w:val="22"/>
          <w:shd w:fill="EFF0F1"/>
        </w:rPr>
        <w:t>tcp_nodelay on</w:t>
      </w:r>
      <w:r>
        <w:rPr>
          <w:rFonts w:eastAsia="等线" w:ascii="Arial" w:cs="Arial" w:hAnsi="Arial"/>
          <w:sz w:val="22"/>
        </w:rPr>
        <w:t>，减少握手延迟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高峰规避：预设美国/巴西办公高峰时段，自动切换备用带宽节点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容错降级：NGINX故障时自动将7层请求切换为4层直连，保障服务连续性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节点规则隔离：为不同香港开放节点配置独立转发规则，避免多链路请求在同一节点拥堵，提升转发稳定性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23903">
    <w:lvl>
      <w:numFmt w:val="bullet"/>
      <w:suff w:val="tab"/>
      <w:lvlText w:val="•"/>
      <w:rPr>
        <w:color w:val="3370ff"/>
      </w:rPr>
    </w:lvl>
  </w:abstractNum>
  <w:abstractNum w:abstractNumId="1223904">
    <w:lvl>
      <w:numFmt w:val="bullet"/>
      <w:suff w:val="tab"/>
      <w:lvlText w:val="•"/>
      <w:rPr>
        <w:color w:val="3370ff"/>
      </w:rPr>
    </w:lvl>
  </w:abstractNum>
  <w:abstractNum w:abstractNumId="1223905">
    <w:lvl>
      <w:numFmt w:val="bullet"/>
      <w:suff w:val="tab"/>
      <w:lvlText w:val="•"/>
      <w:rPr>
        <w:color w:val="3370ff"/>
      </w:rPr>
    </w:lvl>
  </w:abstractNum>
  <w:abstractNum w:abstractNumId="1223906">
    <w:lvl>
      <w:numFmt w:val="bullet"/>
      <w:suff w:val="tab"/>
      <w:lvlText w:val="•"/>
      <w:rPr>
        <w:color w:val="3370ff"/>
      </w:rPr>
    </w:lvl>
  </w:abstractNum>
  <w:abstractNum w:abstractNumId="1223907">
    <w:lvl>
      <w:numFmt w:val="bullet"/>
      <w:suff w:val="tab"/>
      <w:lvlText w:val="•"/>
      <w:rPr>
        <w:color w:val="3370ff"/>
      </w:rPr>
    </w:lvl>
  </w:abstractNum>
  <w:abstractNum w:abstractNumId="1223908">
    <w:lvl>
      <w:numFmt w:val="bullet"/>
      <w:suff w:val="tab"/>
      <w:lvlText w:val="•"/>
      <w:rPr>
        <w:color w:val="3370ff"/>
      </w:rPr>
    </w:lvl>
  </w:abstractNum>
  <w:abstractNum w:abstractNumId="1223909">
    <w:lvl>
      <w:numFmt w:val="bullet"/>
      <w:suff w:val="tab"/>
      <w:lvlText w:val="•"/>
      <w:rPr>
        <w:color w:val="3370ff"/>
      </w:rPr>
    </w:lvl>
  </w:abstractNum>
  <w:abstractNum w:abstractNumId="1223910">
    <w:lvl>
      <w:numFmt w:val="bullet"/>
      <w:suff w:val="tab"/>
      <w:lvlText w:val="•"/>
      <w:rPr>
        <w:color w:val="3370ff"/>
      </w:rPr>
    </w:lvl>
  </w:abstractNum>
  <w:abstractNum w:abstractNumId="1223911">
    <w:lvl>
      <w:numFmt w:val="bullet"/>
      <w:suff w:val="tab"/>
      <w:lvlText w:val="•"/>
      <w:rPr>
        <w:color w:val="3370ff"/>
      </w:rPr>
    </w:lvl>
  </w:abstractNum>
  <w:abstractNum w:abstractNumId="1223912">
    <w:lvl>
      <w:numFmt w:val="bullet"/>
      <w:suff w:val="tab"/>
      <w:lvlText w:val="•"/>
      <w:rPr>
        <w:color w:val="3370ff"/>
      </w:rPr>
    </w:lvl>
  </w:abstractNum>
  <w:abstractNum w:abstractNumId="1223913">
    <w:lvl>
      <w:numFmt w:val="bullet"/>
      <w:suff w:val="tab"/>
      <w:lvlText w:val="•"/>
      <w:rPr>
        <w:color w:val="3370ff"/>
      </w:rPr>
    </w:lvl>
  </w:abstractNum>
  <w:abstractNum w:abstractNumId="1223914">
    <w:lvl>
      <w:numFmt w:val="bullet"/>
      <w:suff w:val="tab"/>
      <w:lvlText w:val="•"/>
      <w:rPr>
        <w:color w:val="3370ff"/>
      </w:rPr>
    </w:lvl>
  </w:abstractNum>
  <w:abstractNum w:abstractNumId="1223915">
    <w:lvl>
      <w:numFmt w:val="bullet"/>
      <w:suff w:val="tab"/>
      <w:lvlText w:val="•"/>
      <w:rPr>
        <w:color w:val="3370ff"/>
      </w:rPr>
    </w:lvl>
  </w:abstractNum>
  <w:abstractNum w:abstractNumId="1223916">
    <w:lvl>
      <w:numFmt w:val="bullet"/>
      <w:suff w:val="tab"/>
      <w:lvlText w:val="•"/>
      <w:rPr>
        <w:color w:val="3370ff"/>
      </w:rPr>
    </w:lvl>
  </w:abstractNum>
  <w:abstractNum w:abstractNumId="1223917">
    <w:lvl>
      <w:start w:val="1"/>
      <w:numFmt w:val="decimal"/>
      <w:suff w:val="tab"/>
      <w:lvlText w:val="%1."/>
      <w:rPr>
        <w:color w:val="3370ff"/>
      </w:rPr>
    </w:lvl>
  </w:abstractNum>
  <w:abstractNum w:abstractNumId="1223918">
    <w:lvl>
      <w:start w:val="2"/>
      <w:numFmt w:val="decimal"/>
      <w:suff w:val="tab"/>
      <w:lvlText w:val="%1."/>
      <w:rPr>
        <w:color w:val="3370ff"/>
      </w:rPr>
    </w:lvl>
  </w:abstractNum>
  <w:abstractNum w:abstractNumId="1223919">
    <w:lvl>
      <w:start w:val="3"/>
      <w:numFmt w:val="decimal"/>
      <w:suff w:val="tab"/>
      <w:lvlText w:val="%1."/>
      <w:rPr>
        <w:color w:val="3370ff"/>
      </w:rPr>
    </w:lvl>
  </w:abstractNum>
  <w:abstractNum w:abstractNumId="1223920">
    <w:lvl>
      <w:numFmt w:val="bullet"/>
      <w:suff w:val="tab"/>
      <w:lvlText w:val="•"/>
      <w:rPr>
        <w:color w:val="3370ff"/>
      </w:rPr>
    </w:lvl>
  </w:abstractNum>
  <w:abstractNum w:abstractNumId="1223921">
    <w:lvl>
      <w:numFmt w:val="bullet"/>
      <w:suff w:val="tab"/>
      <w:lvlText w:val="•"/>
      <w:rPr>
        <w:color w:val="3370ff"/>
      </w:rPr>
    </w:lvl>
  </w:abstractNum>
  <w:abstractNum w:abstractNumId="1223922">
    <w:lvl>
      <w:numFmt w:val="bullet"/>
      <w:suff w:val="tab"/>
      <w:lvlText w:val="•"/>
      <w:rPr>
        <w:color w:val="3370ff"/>
      </w:rPr>
    </w:lvl>
  </w:abstractNum>
  <w:abstractNum w:abstractNumId="1223923">
    <w:lvl>
      <w:numFmt w:val="bullet"/>
      <w:suff w:val="tab"/>
      <w:lvlText w:val="•"/>
      <w:rPr>
        <w:color w:val="3370ff"/>
      </w:rPr>
    </w:lvl>
  </w:abstractNum>
  <w:abstractNum w:abstractNumId="1223924">
    <w:lvl>
      <w:numFmt w:val="bullet"/>
      <w:suff w:val="tab"/>
      <w:lvlText w:val="•"/>
      <w:rPr>
        <w:color w:val="3370ff"/>
      </w:rPr>
    </w:lvl>
  </w:abstractNum>
  <w:num w:numId="1">
    <w:abstractNumId w:val="1223903"/>
  </w:num>
  <w:num w:numId="2">
    <w:abstractNumId w:val="1223904"/>
  </w:num>
  <w:num w:numId="3">
    <w:abstractNumId w:val="1223905"/>
  </w:num>
  <w:num w:numId="4">
    <w:abstractNumId w:val="1223906"/>
  </w:num>
  <w:num w:numId="5">
    <w:abstractNumId w:val="1223907"/>
  </w:num>
  <w:num w:numId="6">
    <w:abstractNumId w:val="1223908"/>
  </w:num>
  <w:num w:numId="7">
    <w:abstractNumId w:val="1223909"/>
  </w:num>
  <w:num w:numId="8">
    <w:abstractNumId w:val="1223910"/>
  </w:num>
  <w:num w:numId="9">
    <w:abstractNumId w:val="1223911"/>
  </w:num>
  <w:num w:numId="10">
    <w:abstractNumId w:val="1223912"/>
  </w:num>
  <w:num w:numId="11">
    <w:abstractNumId w:val="1223913"/>
  </w:num>
  <w:num w:numId="12">
    <w:abstractNumId w:val="1223914"/>
  </w:num>
  <w:num w:numId="13">
    <w:abstractNumId w:val="1223915"/>
  </w:num>
  <w:num w:numId="14">
    <w:abstractNumId w:val="1223916"/>
  </w:num>
  <w:num w:numId="15">
    <w:abstractNumId w:val="1223917"/>
  </w:num>
  <w:num w:numId="16">
    <w:abstractNumId w:val="1223918"/>
  </w:num>
  <w:num w:numId="17">
    <w:abstractNumId w:val="1223919"/>
  </w:num>
  <w:num w:numId="18">
    <w:abstractNumId w:val="1223920"/>
  </w:num>
  <w:num w:numId="19">
    <w:abstractNumId w:val="1223921"/>
  </w:num>
  <w:num w:numId="20">
    <w:abstractNumId w:val="1223922"/>
  </w:num>
  <w:num w:numId="21">
    <w:abstractNumId w:val="1223923"/>
  </w:num>
  <w:num w:numId="22">
    <w:abstractNumId w:val="122392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2025-11-29T13:33:34Z</dcterms:created>
  <dc:creator>Apache POI</dc:creator>
</cp:coreProperties>
</file>